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ХРАНЕНИЯ № СВХ/070502-20-</w:t>
      </w:r>
      <w:r w:rsidR="00B70AC9">
        <w:rPr>
          <w:rFonts w:ascii="Times New Roman CYR" w:hAnsi="Times New Roman CYR" w:cs="Times New Roman CYR"/>
          <w:b/>
          <w:bCs/>
          <w:sz w:val="20"/>
          <w:szCs w:val="20"/>
        </w:rPr>
        <w:t>_________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СКЛАДЕ ВРЕМЕННОГО ХРАНЕНИЯ№ ВА-060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/00002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:rsidR="00276CC9" w:rsidRPr="001C2405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_._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276CC9" w:rsidRPr="001C2405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склада временного хранения открытого типа №ВА-060</w:t>
      </w:r>
      <w:r w:rsidRPr="00276CC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 CYR" w:hAnsi="Times New Roman CYR" w:cs="Times New Roman CYR"/>
          <w:sz w:val="18"/>
          <w:szCs w:val="18"/>
        </w:rPr>
        <w:t>/0000</w:t>
      </w:r>
      <w:r w:rsidRPr="00276CC9">
        <w:rPr>
          <w:rFonts w:ascii="Times New Roman" w:hAnsi="Times New Roman" w:cs="Times New Roman"/>
          <w:sz w:val="18"/>
          <w:szCs w:val="18"/>
        </w:rPr>
        <w:t>230</w:t>
      </w:r>
      <w:r>
        <w:rPr>
          <w:rFonts w:ascii="Times New Roman CYR" w:hAnsi="Times New Roman CYR" w:cs="Times New Roman CYR"/>
          <w:sz w:val="18"/>
          <w:szCs w:val="18"/>
        </w:rPr>
        <w:t>, именуемое в дальнейшем «Хранитель», в лице ___________________________ отдела по работе с клиентами ТЛЦ "Минск-Белтаможсервис" _____________________________________________________________________________,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 w:rsidRPr="00717B0D">
        <w:rPr>
          <w:rFonts w:ascii="Times New Roman" w:hAnsi="Times New Roman" w:cs="Times New Roman"/>
          <w:sz w:val="18"/>
          <w:szCs w:val="18"/>
        </w:rPr>
        <w:t>____________</w:t>
      </w:r>
      <w:r w:rsidR="00717B0D" w:rsidRPr="00717B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 w:rsidR="00717B0D"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</w:t>
      </w:r>
      <w:r w:rsidRPr="00276C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>1. Предмет договора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 w:rsidRPr="00276C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1.1. Хранитель обязуется на условиях настоящего договора за плату оказать услуги по хранению товара и (или) транспортных средств (далее - Товары), переданных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на временное хранение под таможенным контролем, и возвратить их в сохранности. Хранитель действует в соответствии с таможенным законодательством Евразийского экономического союза и (или) законодательством Республики Беларусь. Хранитель по настоящему договору также вправе оказывать сопутствующие хранению услуги.</w:t>
      </w:r>
    </w:p>
    <w:p w:rsidR="00276CC9" w:rsidRDefault="00276CC9" w:rsidP="00276CC9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Цена на оказываемые услуги определяется в соответствии с прейскурантами</w:t>
      </w: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тарифов на услуги, действующими у Хранителя на дату оказания услуг, из расчета стоимости за единицу Товара (услуги).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1.4. Место нахождения склада: </w:t>
      </w:r>
      <w:r>
        <w:rPr>
          <w:rFonts w:ascii="Times New Roman CYR" w:hAnsi="Times New Roman CYR" w:cs="Times New Roman CYR"/>
          <w:sz w:val="18"/>
          <w:szCs w:val="18"/>
          <w:u w:val="single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обязуется: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проверять полномочия Поклажедателя в отношении передаваемых на хранение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принимать, помещать Товары на склад согласно представленным товаросопроводительным документам (с выгрузкой или без выгрузки из транспортных средств), осуществлять их хранение и выдавать по завершению срока хранения;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надлежащие условия хранения Товаров на складе с соблюдением обязательных условий, установленных законодательством;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принимать необходимые меры по обеспечению сохранности Товаров, невозможности доступа к ним посторонних лиц, сохранности средств идентификации. Сохранности также подлежат транспортные средства, в случае если Товары переданы на хранение без выгрузки из транспортного средства;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 оформлять факты приемки и выдачи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 обеспечивать соблюдение требований законодательства и таможенного органа при совершении сопутствующих хранению операций с Товарами;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исключать возможность изъятия и выдачи Товаров со склада без законных на то оснований;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2.1.8.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те Товары, которые были переданы на хранение, и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276CC9" w:rsidRDefault="00276CC9" w:rsidP="00276CC9">
      <w:p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2.1.9. письменно уведомлять Поклажедателя о необходимости получения Товаров со склада и помещения их под одну из таможенных процедур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2.1.10. в случае ликвидации склада обеспечить сохранность размещенных на нем Товаров до их помещения под таможенную процедуру в течение срока временного хранения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2.1.11. исполнять налоговое обязательство по уплате ввозных таможенных пошлин и налогов в отношении помещенных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2.1.12. соблюдать иные условия и требования, установленные таможенным законодательством Евразийского экономического союза и (или) законодательством Республики Беларусь в отношении хранимых на складе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2.1.13. представлять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для подписания акт сдачи-приемки услуг.</w:t>
      </w:r>
    </w:p>
    <w:p w:rsidR="00276CC9" w:rsidRDefault="00276CC9" w:rsidP="00276CC9">
      <w:pPr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276CC9" w:rsidRDefault="00276CC9" w:rsidP="00276CC9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передавать на хранение Товары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Товаров, требующих особых условий хранения и дополнительных мер безопасности при их хранении;</w:t>
      </w:r>
    </w:p>
    <w:p w:rsidR="00276CC9" w:rsidRDefault="00276CC9" w:rsidP="00276CC9">
      <w:pPr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представлять Хранителю документы, подтверждающие свои полномочия в отношении передаваемых на хранение Товаров;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подписывать соответствующие документы при передаче Товаров на склад и приемки их обратно;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обеспечивать помещение Товаров под таможенную процедуру либо снятие с таможенного контроля в связи с наступлением иных обстоятельств в соответствии с законодательством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все исполненное в соответствии с условиями настоящего договора по актам сдачи-приемки услуг и подписывать их;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 и налогов в отношении помещаемых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2.2.9.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276CC9" w:rsidRDefault="00276CC9" w:rsidP="00276CC9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2.3.1.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 исправление поврежденной упаковки, а также операции, необходимые для подготовки Товаров к последующей транспортировке с разрешения таможенного органа.</w:t>
      </w:r>
    </w:p>
    <w:p w:rsidR="00276CC9" w:rsidRDefault="00276CC9" w:rsidP="00276CC9">
      <w:pPr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lastRenderedPageBreak/>
        <w:t>3. ПОРЯДОК РАСЧЕТОВ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При отсутствии на расчетном счете Хранителя предоплаты и непредставления платежного поручения с отметкой банка, подтверждающей осуществление предоплаты, Хранитель отказывает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по настоящему договору.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Поклажедателя и подписанного сторонами Акта сверки.</w:t>
      </w:r>
    </w:p>
    <w:p w:rsidR="00276CC9" w:rsidRDefault="00276CC9" w:rsidP="00276CC9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. Косвенные убытки, упущенная выгода и моральный вред возмещению не подлежат.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</w:t>
      </w:r>
      <w:r>
        <w:rPr>
          <w:rFonts w:ascii="Times New Roman CYR" w:hAnsi="Times New Roman CYR" w:cs="Times New Roman CYR"/>
          <w:sz w:val="18"/>
          <w:szCs w:val="18"/>
        </w:rPr>
        <w:t xml:space="preserve">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возмещает Хранителю причиненные убытки.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276CC9" w:rsidRDefault="00276CC9" w:rsidP="00276CC9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276CC9" w:rsidRDefault="00276CC9" w:rsidP="00276CC9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4.6.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перед Хранителем за нарушение Правил в виде штрафа в размере 10 базовых величин, установленных законодательством Республики Беларусь на день оплаты штрафа. Штрафные санкции включаются в счет-фактуру на оплату оказанных услуг и вместе с Актом выявленных нарушений направляются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оплаты.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4.8. В случае не достижения сторонами согласия в претензионном порядке, определенном в подпункте 4.7 настоящего договора, решение спора осуществляется в Экономическом суде Минской области.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5.1. Настоящий договор вступает в силу с момента его подписания обеими сторонами и действует до ______________.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276CC9" w:rsidRDefault="00276CC9" w:rsidP="00276CC9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276CC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276CC9" w:rsidTr="00276CC9"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ХРАНИТЕЛЬ: 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276CC9" w:rsidRDefault="00C039FC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C039FC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276CC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276CC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276CC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8(017)500-17-28, 19</w:t>
            </w:r>
            <w:r w:rsidRPr="00276CC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tlcsvh@minsk.declarant.by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- 9006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(ФИО)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(серия и номер паспорта, кем и когда выдан)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>(адрес прописки)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_______________________________________________________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</w:t>
            </w:r>
            <w:r w:rsidRPr="00276CC9">
              <w:rPr>
                <w:rFonts w:ascii="Times New Roman CYR" w:hAnsi="Times New Roman CYR" w:cs="Times New Roman CYR"/>
                <w:sz w:val="14"/>
                <w:szCs w:val="14"/>
              </w:rPr>
              <w:t xml:space="preserve">   (идентификационный номер паспорта)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Default="00276CC9" w:rsidP="00276CC9">
            <w:pPr>
              <w:tabs>
                <w:tab w:val="left" w:pos="684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7638BF" w:rsidRDefault="007638BF"/>
    <w:sectPr w:rsidR="007638BF" w:rsidSect="00276CC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9"/>
    <w:rsid w:val="001C2405"/>
    <w:rsid w:val="00276CC9"/>
    <w:rsid w:val="005113E6"/>
    <w:rsid w:val="00717B0D"/>
    <w:rsid w:val="007638BF"/>
    <w:rsid w:val="00B70AC9"/>
    <w:rsid w:val="00C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B3DB-2CC4-4E50-8750-E90A6BD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Александр Кудревич</cp:lastModifiedBy>
  <cp:revision>2</cp:revision>
  <dcterms:created xsi:type="dcterms:W3CDTF">2022-11-04T07:45:00Z</dcterms:created>
  <dcterms:modified xsi:type="dcterms:W3CDTF">2022-11-04T07:45:00Z</dcterms:modified>
</cp:coreProperties>
</file>