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ПОРУЧЕНИЯ № ТА/070501-20-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</w:t>
      </w:r>
      <w:proofErr w:type="gramEnd"/>
      <w:r w:rsidRPr="00CC32AE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 xml:space="preserve">в лице </w:t>
      </w:r>
      <w:r>
        <w:rPr>
          <w:rFonts w:ascii="Times New Roman CYR" w:hAnsi="Times New Roman CYR" w:cs="Times New Roman CYR"/>
          <w:sz w:val="16"/>
          <w:szCs w:val="16"/>
        </w:rPr>
        <w:t>_______________________________</w:t>
      </w:r>
      <w:r>
        <w:rPr>
          <w:rFonts w:ascii="Times New Roman CYR" w:hAnsi="Times New Roman CYR" w:cs="Times New Roman CYR"/>
          <w:sz w:val="16"/>
          <w:szCs w:val="16"/>
        </w:rPr>
        <w:t xml:space="preserve"> по таможенному декларированию 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t>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t>, 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CC32AE"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Минск-Дзержинск, АБК, к. 75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специалист по таможенному декларированию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jc w:val="both"/>
            </w:pP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bookmarkStart w:id="0" w:name="_GoBack"/>
            <w:bookmarkEnd w:id="0"/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  <w:t>_____________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 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CC32AE" w:rsidRDefault="00CC32AE" w:rsidP="00CC32AE">
            <w:pPr>
              <w:jc w:val="both"/>
            </w:pPr>
          </w:p>
        </w:tc>
      </w:tr>
    </w:tbl>
    <w:p w:rsidR="00CC32AE" w:rsidRPr="00CC32AE" w:rsidRDefault="00CC32AE" w:rsidP="00CC32AE">
      <w:pPr>
        <w:jc w:val="both"/>
      </w:pPr>
    </w:p>
    <w:sectPr w:rsidR="00CC32AE" w:rsidRPr="00CC32AE" w:rsidSect="00CC32AE">
      <w:pgSz w:w="12240" w:h="15840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E"/>
    <w:rsid w:val="005113E6"/>
    <w:rsid w:val="007638BF"/>
    <w:rsid w:val="00C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D37"/>
  <w15:chartTrackingRefBased/>
  <w15:docId w15:val="{C9CBB75F-86F8-4E90-BCC9-0E6D7E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Окинчиц Ксения Владимировна</cp:lastModifiedBy>
  <cp:revision>1</cp:revision>
  <dcterms:created xsi:type="dcterms:W3CDTF">2020-06-18T08:51:00Z</dcterms:created>
  <dcterms:modified xsi:type="dcterms:W3CDTF">2020-06-18T09:01:00Z</dcterms:modified>
</cp:coreProperties>
</file>